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التنظيم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القضائي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والمرافعات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221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الخاص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tl w:val="0"/>
              </w:rPr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tl w:val="0"/>
              </w:rPr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tl w:val="0"/>
              </w:rPr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tl w:val="0"/>
              </w:rPr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2"/>
        <w:bidiVisual w:val="1"/>
        <w:tblW w:w="932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  <w:tblGridChange w:id="0">
          <w:tblGrid>
            <w:gridCol w:w="464"/>
            <w:gridCol w:w="696"/>
            <w:gridCol w:w="856"/>
            <w:gridCol w:w="58"/>
            <w:gridCol w:w="213"/>
            <w:gridCol w:w="179"/>
            <w:gridCol w:w="270"/>
            <w:gridCol w:w="504"/>
            <w:gridCol w:w="270"/>
            <w:gridCol w:w="679"/>
            <w:gridCol w:w="270"/>
            <w:gridCol w:w="203"/>
            <w:gridCol w:w="431"/>
            <w:gridCol w:w="270"/>
            <w:gridCol w:w="1941"/>
            <w:gridCol w:w="270"/>
            <w:gridCol w:w="175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الثالث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Law111</w:t>
            </w:r>
          </w:p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30%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rPr/>
      </w:pPr>
      <w:bookmarkStart w:colFirst="0" w:colLast="0" w:name="_heading=h.2et92p0" w:id="4"/>
      <w:bookmarkEnd w:id="4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pStyle w:val="Heading2"/>
              <w:numPr>
                <w:ilvl w:val="0"/>
                <w:numId w:val="8"/>
              </w:numPr>
              <w:bidi w:val="1"/>
              <w:ind w:left="720" w:hanging="360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والمرافعات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والإجراءات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قضائيا</w:t>
            </w:r>
            <w:r w:rsidDel="00000000" w:rsidR="00000000" w:rsidRPr="00000000">
              <w:rPr>
                <w:rtl w:val="1"/>
              </w:rPr>
              <w:t xml:space="preserve">ً  </w:t>
            </w:r>
            <w:r w:rsidDel="00000000" w:rsidR="00000000" w:rsidRPr="00000000">
              <w:rPr>
                <w:rtl w:val="1"/>
              </w:rPr>
              <w:t xml:space="preserve">بالاعتماد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المرافعات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ويشرح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تحديدا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إجراءات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الدعاوى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والتجارية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تشكيل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والسلطات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المختصة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الدعوى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يستطيع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ينقل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موضوعية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التطبيق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pStyle w:val="Heading2"/>
              <w:bidi w:val="1"/>
              <w:rPr/>
            </w:pPr>
            <w:bookmarkStart w:colFirst="0" w:colLast="0" w:name="_heading=h.3dy6vkm" w:id="6"/>
            <w:bookmarkEnd w:id="6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بالسلطة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ترتيبها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تشكيلها</w:t>
            </w:r>
            <w:r w:rsidDel="00000000" w:rsidR="00000000" w:rsidRPr="00000000">
              <w:rPr>
                <w:rtl w:val="1"/>
              </w:rPr>
              <w:t xml:space="preserve">،</w:t>
            </w:r>
            <w:r w:rsidDel="00000000" w:rsidR="00000000" w:rsidRPr="00000000">
              <w:rPr>
                <w:rtl w:val="1"/>
              </w:rPr>
              <w:t xml:space="preserve">ولايتها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الإختصاص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أعوان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المرافعات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وتحديد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طبيعة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قواعده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التعريف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بالدعوى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تقسيم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الدعاوى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الوضعي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وأركان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الدعوى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إجراءات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المرافعات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الخصومة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،</w:t>
            </w:r>
            <w:r w:rsidDel="00000000" w:rsidR="00000000" w:rsidRPr="00000000">
              <w:rPr>
                <w:rtl w:val="1"/>
              </w:rPr>
              <w:t xml:space="preserve">وأخيرا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المسائل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بسير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الخصومة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للاعتراض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FA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pStyle w:val="Heading2"/>
        <w:bidi w:val="1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6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يصف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الإطار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للنظام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القضائي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المملكة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المرافعات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2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يميز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جهات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القضاء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درجات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وأنواع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المحاكم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يشرح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خطوات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رفع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الدعوى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وأساليب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تداولها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والإجراءات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الواجب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اتباعها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لإصدار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color w:val="000000"/>
                <w:rtl w:val="1"/>
              </w:rPr>
              <w:t xml:space="preserve">وطرق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الطعن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بها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المبادئ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القضايا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والتطبيقات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سواء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تحديد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المحكمة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المختصة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جميع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الوجوه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الاختيار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وجه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التصرف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الصحيح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حالة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ظهور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عوارض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الخصومة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1C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12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Style w:val="Heading1"/>
        <w:rPr/>
      </w:pPr>
      <w:bookmarkStart w:colFirst="0" w:colLast="0" w:name="_heading=h.4d34og8" w:id="8"/>
      <w:bookmarkEnd w:id="8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5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مقدمة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5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القضاء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الإسلام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5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القضاء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50" w:right="0" w:hanging="360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المسائل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ينظمها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نهظام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المرافعات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الشرعية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السعودي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45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المبادئ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التنظيم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القضائي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45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استقلال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السلطة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القضائية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45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المحاكم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وولاياتها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8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المحكمة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العليا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محاكم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الإستئنا</w:t>
            </w:r>
            <w:r w:rsidDel="00000000" w:rsidR="00000000" w:rsidRPr="00000000">
              <w:rPr>
                <w:rtl w:val="1"/>
              </w:rPr>
              <w:t xml:space="preserve">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محاكم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واختصاصاتها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ولاية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المحاكم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الاختصاص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للمحاكم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الإختصاص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النوعي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للمحاكم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الاختصاص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المحلي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عدم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صلاحية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القاضي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للنظر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الدعوى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رفع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الدعوى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وقيدها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422.99999999999727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تبليغ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صحيفة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الدعوى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الأوراق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القضائية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وقف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الخصومة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القضائية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ترك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الخصومة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القضائية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انقطاع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الخصومة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القضائية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قفل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المرافعة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والنطق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بالحكم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5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المقصود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بالحكم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القضائي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تقسيمات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الأحكام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القضائية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الحكم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الحضوري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والحكم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الغيابي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الأحكام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القطعية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والأحكام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القطعية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آثار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الاحكام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الإعتراض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الأحكام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القضائية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5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المختصة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بإعادة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النظر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5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الإلتماس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لإعادة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النظر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5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الطعن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بالنقض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</w:tr>
    </w:tbl>
    <w:p w:rsidR="00000000" w:rsidDel="00000000" w:rsidP="00000000" w:rsidRDefault="00000000" w:rsidRPr="00000000" w14:paraId="0000017E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Style w:val="Heading1"/>
        <w:rPr/>
      </w:pPr>
      <w:bookmarkStart w:colFirst="0" w:colLast="0" w:name="_heading=h.2s8eyo1" w:id="9"/>
      <w:bookmarkEnd w:id="9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80">
      <w:pPr>
        <w:pStyle w:val="Heading2"/>
        <w:bidi w:val="1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5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6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A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يصف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الإطار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للنظام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القضائي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المملكة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الاطلاع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</w:t>
            </w:r>
          </w:p>
          <w:p w:rsidR="00000000" w:rsidDel="00000000" w:rsidP="00000000" w:rsidRDefault="00000000" w:rsidRPr="00000000" w14:paraId="0000018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الاسئلة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9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المرافعات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9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  <w:r w:rsidDel="00000000" w:rsidR="00000000" w:rsidRPr="00000000">
              <w:rPr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9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9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الاطلاع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الخارجي</w:t>
            </w:r>
          </w:p>
          <w:p w:rsidR="00000000" w:rsidDel="00000000" w:rsidP="00000000" w:rsidRDefault="00000000" w:rsidRPr="00000000" w14:paraId="0000019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9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9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الشهرية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3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7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يميز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جهات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القضاء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ودرجات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وأنواع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المحاكم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A9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AD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AF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يشرح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خطوات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رفع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الدعوى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وأساليب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تداولها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والإجراءات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الواجب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اتباعها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لإصدار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color w:val="000000"/>
                <w:rtl w:val="1"/>
              </w:rPr>
              <w:t xml:space="preserve">وطرق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الطعن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بها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B1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B5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المبادئ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القضايا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والتطبيقات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سواء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تحديد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المحكمة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المختصة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جميع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الوجوه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اختيار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وجه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التصرف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الصحيح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حالة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ظهور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عوارض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الخصومة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BA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</w:p>
          <w:p w:rsidR="00000000" w:rsidDel="00000000" w:rsidP="00000000" w:rsidRDefault="00000000" w:rsidRPr="00000000" w14:paraId="000001B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BF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</w:t>
            </w:r>
            <w:r w:rsidDel="00000000" w:rsidR="00000000" w:rsidRPr="00000000">
              <w:rPr>
                <w:rtl w:val="1"/>
              </w:rPr>
              <w:t xml:space="preserve">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bidi w:val="1"/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bidi w:val="1"/>
              <w:spacing w:after="240" w:lineRule="auto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C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المهمات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المنزلية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C7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C8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C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CE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D2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تقويم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قائد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الفريق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البحثي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النقاشي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pStyle w:val="Heading2"/>
        <w:bidi w:val="1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577.9999999999998"/>
        <w:gridCol w:w="2022.0000000000002"/>
        <w:tblGridChange w:id="0">
          <w:tblGrid>
            <w:gridCol w:w="421"/>
            <w:gridCol w:w="5555"/>
            <w:gridCol w:w="1577.9999999999998"/>
            <w:gridCol w:w="2022.00000000000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D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3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4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E5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7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8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E9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B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C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ED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0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F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F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F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F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20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03">
      <w:pPr>
        <w:pStyle w:val="Heading1"/>
        <w:rPr/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Style w:val="Heading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الاستاذ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لتواجد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الاستاذ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يخضعون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206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Style w:val="Heading1"/>
        <w:rPr/>
      </w:pPr>
      <w:bookmarkStart w:colFirst="0" w:colLast="0" w:name="_heading=h.lnxbz9" w:id="13"/>
      <w:bookmarkEnd w:id="13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208">
      <w:pPr>
        <w:pStyle w:val="Heading2"/>
        <w:bidi w:val="1"/>
        <w:rPr/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9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الوجيز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المرافعات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الجديد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الدكتور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خالد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موسى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الجامعي</w:t>
            </w:r>
            <w:r w:rsidDel="00000000" w:rsidR="00000000" w:rsidRPr="00000000">
              <w:rPr>
                <w:rtl w:val="0"/>
              </w:rPr>
              <w:t xml:space="preserve">- 2018</w:t>
            </w:r>
          </w:p>
          <w:p w:rsidR="00000000" w:rsidDel="00000000" w:rsidP="00000000" w:rsidRDefault="00000000" w:rsidRPr="00000000" w14:paraId="0000020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0C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0D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الوسيط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نظام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المرافعات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الشرعية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السعودي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وفقا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لآخر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التعديلات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الجديدة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الدكتور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محمود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سليمان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دار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الكتاب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الجامعي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، 1441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هجري</w:t>
            </w:r>
          </w:p>
          <w:p w:rsidR="00000000" w:rsidDel="00000000" w:rsidP="00000000" w:rsidRDefault="00000000" w:rsidRPr="00000000" w14:paraId="0000020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المبادئ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القضائية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الشريعة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الإسلامية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وارتباط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النظام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القضائي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السعودية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جمع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الدكتور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حسينبن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العزيز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آل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الشيخ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إمام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وخطيب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المسجد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النبوي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الشريف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والقاضي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بالمحكمة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الشرعية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بالمدينة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النبوية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1426</w:t>
            </w:r>
          </w:p>
          <w:p w:rsidR="00000000" w:rsidDel="00000000" w:rsidP="00000000" w:rsidRDefault="00000000" w:rsidRPr="00000000" w14:paraId="0000020F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يستعين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بالمواقع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212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موقع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أستاذ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المادة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الجامعة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والذي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يحتوي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كافة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المواقع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النظامية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1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1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مدونة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https://www.moj.gov.sa/ar-sa/ministry/versions/Documents/50.pdf</w:t>
            </w:r>
          </w:p>
        </w:tc>
      </w:tr>
    </w:tbl>
    <w:p w:rsidR="00000000" w:rsidDel="00000000" w:rsidP="00000000" w:rsidRDefault="00000000" w:rsidRPr="00000000" w14:paraId="00000216">
      <w:pPr>
        <w:pStyle w:val="Heading2"/>
        <w:bidi w:val="1"/>
        <w:rPr>
          <w:sz w:val="14"/>
          <w:szCs w:val="14"/>
        </w:rPr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Style w:val="Heading2"/>
        <w:bidi w:val="1"/>
        <w:rPr/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Style w:val="Heading2"/>
        <w:bidi w:val="1"/>
        <w:rPr/>
      </w:pPr>
      <w:bookmarkStart w:colFirst="0" w:colLast="0" w:name="_heading=h.hiexxq9pki5d" w:id="17"/>
      <w:bookmarkEnd w:id="1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21C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D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قاع</w:t>
            </w:r>
            <w:r w:rsidDel="00000000" w:rsidR="00000000" w:rsidRPr="00000000">
              <w:rPr>
                <w:rtl w:val="1"/>
              </w:rPr>
              <w:t xml:space="preserve">ات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المحاضرات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21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20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تتوفر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قاعات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مجهزة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بالاتصال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بالانترنت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بالاضافة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أجهزة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كمبيوتر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أكثر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مكان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الجامعة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لخدمة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الطلاب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تجهيز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الفصول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بالسمارت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بورد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والبروجكترات</w:t>
            </w:r>
            <w:r w:rsidDel="00000000" w:rsidR="00000000" w:rsidRPr="00000000">
              <w:rPr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pStyle w:val="Heading1"/>
        <w:rPr/>
      </w:pPr>
      <w:bookmarkStart w:colFirst="0" w:colLast="0" w:name="_heading=h.2jxsxqh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pStyle w:val="Heading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6">
            <w:pPr>
              <w:bidi w:val="1"/>
              <w:jc w:val="center"/>
              <w:rPr/>
            </w:pPr>
            <w:bookmarkStart w:colFirst="0" w:colLast="0" w:name="_heading=h.z337ya" w:id="19"/>
            <w:bookmarkEnd w:id="19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bidi w:val="1"/>
              <w:jc w:val="both"/>
              <w:rPr/>
            </w:pPr>
            <w:bookmarkStart w:colFirst="0" w:colLast="0" w:name="_heading=h.3j2qqm3" w:id="20"/>
            <w:bookmarkEnd w:id="20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observation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2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22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9">
      <w:pPr>
        <w:bidi w:val="1"/>
        <w:rPr>
          <w:color w:val="c00000"/>
          <w:sz w:val="20"/>
          <w:szCs w:val="20"/>
        </w:rPr>
      </w:pPr>
      <w:bookmarkStart w:colFirst="0" w:colLast="0" w:name="_heading=h.1y810tw" w:id="21"/>
      <w:bookmarkEnd w:id="21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bidi w:val="1"/>
        <w:rPr>
          <w:sz w:val="20"/>
          <w:szCs w:val="20"/>
        </w:rPr>
      </w:pPr>
      <w:bookmarkStart w:colFirst="0" w:colLast="0" w:name="_heading=h.4i7ojhp" w:id="22"/>
      <w:bookmarkEnd w:id="22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4B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Style w:val="Heading1"/>
        <w:rPr/>
      </w:pPr>
      <w:bookmarkStart w:colFirst="0" w:colLast="0" w:name="_heading=h.2xcytpi" w:id="23"/>
      <w:bookmarkEnd w:id="23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4E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4F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50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51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252">
            <w:pPr>
              <w:bidi w:val="1"/>
              <w:spacing w:before="240" w:line="276" w:lineRule="auto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54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55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56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57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58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9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b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18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1C3FF9"/>
    <w:pPr>
      <w:keepNext w:val="1"/>
      <w:spacing w:after="60" w:line="312" w:lineRule="atLeast"/>
      <w:jc w:val="right"/>
      <w:outlineLvl w:val="0"/>
    </w:pPr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1C3FF9"/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98321D"/>
    <w:pPr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QwFAfNOJei1v1RGLRF/S6/fz5Q==">AMUW2mX8Tpcd1YUxNFZoQllvI2+Y1Y9MvmPWCFxLeUEIxYoRbhX3OE+a9/i35tVKG953cP+vixx4ggh/CPX56tf8eHqw5B/hAx/L8h1sGudt9Ski3kaS7Rp6ZtRC5vYmG5+yIeaekxz/NxFzugFaG6QmAXJ0co3Z0RtayQyuAH0C5UAP+w6Av5xt1i8tXaRJLjvRfITsz6GtXPteEwjUQsT64SABfofvA3MBMBWsKiOrHYCezAOHL2ChztyhVqtW8tS6QrShmMWFitdcwi/NxsQj5fyp4njRZUzChi8TNCbfF4tA4UicKEvJsFPxkHgc1BphgAvvxeVXw6hwA0iuAdQK360QcHRL8AkRsKZeVb+u0Ohdyk3BfmrE64JeL300kstPQWi8dEAhy7qDN6SvESOu4A9UC1y7CiPqhLf1zaRnAL1Xqcp4neuDe51kMozLVLvwYHGFoCTQY0MIKE/m8vW4sYde/YSx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2021-11-02T05:05:00Z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