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الضمانات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العينية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والشخصية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313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الخاص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أ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التعريف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بالمقرر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الدراسي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ب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-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هدف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المقرر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ومخرجاته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التعليمية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et92p0">
        <w:r w:rsidDel="00000000" w:rsidR="00000000" w:rsidRPr="00000000">
          <w:rPr>
            <w:rtl w:val="0"/>
          </w:rPr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1. 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الوصف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العام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tyjcwt">
        <w:r w:rsidDel="00000000" w:rsidR="00000000" w:rsidRPr="00000000">
          <w:rPr>
            <w:rtl w:val="0"/>
          </w:rPr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2. 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الهدف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الرئيس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dy6vkm">
        <w:r w:rsidDel="00000000" w:rsidR="00000000" w:rsidRPr="00000000">
          <w:rPr>
            <w:rtl w:val="0"/>
          </w:rPr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3. 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مخرجات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ج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موضوعات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المقرر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د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التدريس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والتقييم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s8eyo1">
        <w:r w:rsidDel="00000000" w:rsidR="00000000" w:rsidRPr="00000000">
          <w:rPr>
            <w:rtl w:val="0"/>
          </w:rPr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1. 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ربط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مخرجات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مع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كل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من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استراتيجيات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التدريس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وطرق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التقييم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17dp8vu">
        <w:r w:rsidDel="00000000" w:rsidR="00000000" w:rsidRPr="00000000">
          <w:rPr>
            <w:rtl w:val="0"/>
          </w:rPr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2. 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أنشطة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تقييم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الطلبة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هـ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-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أنشطة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الإرشاد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الأكاديمي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والدعم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الطلابي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– 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مصادر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والمرافق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lnxbz9">
        <w:r w:rsidDel="00000000" w:rsidR="00000000" w:rsidRPr="00000000">
          <w:rPr>
            <w:rtl w:val="0"/>
          </w:rPr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1. 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قائمة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مصادر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1ksv4uv">
        <w:r w:rsidDel="00000000" w:rsidR="00000000" w:rsidRPr="00000000">
          <w:rPr>
            <w:rtl w:val="0"/>
          </w:rPr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2. 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المرافق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والتجهيزات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المطلوبة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ز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تقويم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جودة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المقرر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ح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اعتماد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التوصيف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قون</w:t>
            </w:r>
            <w:r w:rsidDel="00000000" w:rsidR="00000000" w:rsidRPr="00000000">
              <w:rPr>
                <w:rtl w:val="1"/>
              </w:rPr>
              <w:t xml:space="preserve"> 213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تمارين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numPr>
                <w:ilvl w:val="0"/>
                <w:numId w:val="1"/>
              </w:numPr>
              <w:bidi w:val="1"/>
              <w:ind w:left="720" w:hanging="36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spacing w:after="0" w:before="240" w:lineRule="auto"/>
              <w:rPr/>
            </w:pPr>
            <w:r w:rsidDel="00000000" w:rsidR="00000000" w:rsidRPr="00000000">
              <w:rPr>
                <w:rtl w:val="1"/>
              </w:rPr>
              <w:t xml:space="preserve">ينتمي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لمجموعة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برنامج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مجموع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الحقوق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العينية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التبعية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التركيز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الرهن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والضمانات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الشخصية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التركيز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الكفالة</w:t>
            </w:r>
            <w:r w:rsidDel="00000000" w:rsidR="00000000" w:rsidRPr="00000000">
              <w:rPr>
                <w:rtl w:val="1"/>
              </w:rPr>
              <w:t xml:space="preserve">،. </w:t>
            </w:r>
            <w:r w:rsidDel="00000000" w:rsidR="00000000" w:rsidRPr="00000000">
              <w:rPr>
                <w:rtl w:val="1"/>
              </w:rPr>
              <w:t xml:space="preserve">لذلك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لابد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يكون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ملما</w:t>
            </w:r>
            <w:r w:rsidDel="00000000" w:rsidR="00000000" w:rsidRPr="00000000">
              <w:rPr>
                <w:rtl w:val="1"/>
              </w:rPr>
              <w:t xml:space="preserve">ً </w:t>
            </w:r>
            <w:r w:rsidDel="00000000" w:rsidR="00000000" w:rsidRPr="00000000">
              <w:rPr>
                <w:rtl w:val="1"/>
              </w:rPr>
              <w:t xml:space="preserve">بمقرري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الإلتزام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7">
            <w:pPr>
              <w:bidi w:val="1"/>
              <w:spacing w:before="0" w:lineRule="auto"/>
              <w:ind w:left="284" w:firstLine="0"/>
              <w:rPr/>
            </w:pPr>
            <w:r w:rsidDel="00000000" w:rsidR="00000000" w:rsidRPr="00000000">
              <w:rPr>
                <w:rtl w:val="1"/>
              </w:rPr>
              <w:t xml:space="preserve">إذا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بدراسة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تنضج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وتكتمل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مفردات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المدني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،</w:t>
            </w:r>
            <w:r w:rsidDel="00000000" w:rsidR="00000000" w:rsidRPr="00000000">
              <w:rPr>
                <w:rtl w:val="1"/>
              </w:rPr>
              <w:t xml:space="preserve">ومن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يهتم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بتدريس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حماية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الدائن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الخاصة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حماية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الضمان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الالتزام</w:t>
            </w:r>
            <w:r w:rsidDel="00000000" w:rsidR="00000000" w:rsidRPr="00000000">
              <w:rPr>
                <w:rtl w:val="1"/>
              </w:rPr>
              <w:t xml:space="preserve">. </w:t>
            </w:r>
          </w:p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A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تغطية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المواضيع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التالية</w:t>
            </w:r>
            <w:r w:rsidDel="00000000" w:rsidR="00000000" w:rsidRPr="00000000">
              <w:rPr>
                <w:b w:val="1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rtl w:val="1"/>
              </w:rPr>
              <w:t xml:space="preserve">الهدف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بمفهوم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الضمانت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الشخصية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والعينية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ومدى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أهميتها</w:t>
            </w:r>
            <w:r w:rsidDel="00000000" w:rsidR="00000000" w:rsidRPr="00000000">
              <w:rPr>
                <w:b w:val="1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FB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الوسائل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لحماية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الدائن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والائتمان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والتجاري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  <w:p w:rsidR="00000000" w:rsidDel="00000000" w:rsidP="00000000" w:rsidRDefault="00000000" w:rsidRPr="00000000" w14:paraId="000000FC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الكفالة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وأنواعها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وآثارها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وانقضائها</w:t>
            </w:r>
          </w:p>
          <w:p w:rsidR="00000000" w:rsidDel="00000000" w:rsidP="00000000" w:rsidRDefault="00000000" w:rsidRPr="00000000" w14:paraId="000000FD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يتعرف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مفهوم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الرهن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الرسمي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وأركانه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وآثاره</w:t>
            </w:r>
          </w:p>
          <w:p w:rsidR="00000000" w:rsidDel="00000000" w:rsidP="00000000" w:rsidRDefault="00000000" w:rsidRPr="00000000" w14:paraId="000000FE">
            <w:pPr>
              <w:bidi w:val="1"/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وتحليل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أحكام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الرهن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الحيازي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وأركانه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وخصائصه</w:t>
            </w:r>
          </w:p>
          <w:p w:rsidR="00000000" w:rsidDel="00000000" w:rsidP="00000000" w:rsidRDefault="00000000" w:rsidRPr="00000000" w14:paraId="000000FF">
            <w:pPr>
              <w:bidi w:val="1"/>
              <w:spacing w:after="0" w:line="276" w:lineRule="auto"/>
              <w:rPr>
                <w:rFonts w:ascii="Simplified Arabic" w:cs="Simplified Arabic" w:eastAsia="Simplified Arabic" w:hAnsi="Simplified Arabic"/>
                <w:color w:val="0070c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يتعرف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الطللبة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الامتياز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حيث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المضمون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bidi w:val="1"/>
              <w:spacing w:before="0" w:lineRule="auto"/>
              <w:ind w:left="28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1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1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4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A">
            <w:pPr>
              <w:bidi w:val="1"/>
              <w:spacing w:line="276" w:lineRule="auto"/>
              <w:rPr>
                <w:b w:val="1"/>
                <w:color w:val="4f81b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b w:val="1"/>
                <w:i w:val="1"/>
                <w:color w:val="4f81bd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rtl w:val="1"/>
              </w:rPr>
              <w:t xml:space="preserve">الضمانت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الشخصية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والعينية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ومدى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أهميتها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D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1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6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ويحلل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المحاكم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1A">
            <w:pPr>
              <w:bidi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يحلل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النصوصمن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خلال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القانونى</w:t>
            </w:r>
            <w:r w:rsidDel="00000000" w:rsidR="00000000" w:rsidRPr="00000000">
              <w:rPr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11E">
            <w:pPr>
              <w:bidi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9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والجماعية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bidi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pStyle w:val="Heading1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bidi w:val="1"/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مفهوم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الضمانات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الشخصية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والعينية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F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bidi w:val="1"/>
              <w:rPr>
                <w:rFonts w:ascii="Simplified Arabic" w:cs="Simplified Arabic" w:eastAsia="Simplified Arabic" w:hAnsi="Simplified Arabic"/>
                <w:b w:val="1"/>
                <w:color w:val="548dd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الكفالة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تعريف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عقد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الكفالة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وخصائصها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ومشروعيتها</w:t>
            </w:r>
          </w:p>
          <w:p w:rsidR="00000000" w:rsidDel="00000000" w:rsidP="00000000" w:rsidRDefault="00000000" w:rsidRPr="00000000" w14:paraId="00000142">
            <w:pPr>
              <w:bidi w:val="1"/>
              <w:spacing w:after="200" w:line="276" w:lineRule="auto"/>
              <w:rPr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أنواع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الكفالة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حيث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المصدر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والصيغة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والمحل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المال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أعيان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نفس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شروط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الكفالة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شروط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الكفيل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شروط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المكفول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له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محل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الكفالة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(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المكفول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به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8">
            <w:pPr>
              <w:bidi w:val="1"/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تطبيقات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الكفالة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B">
            <w:pPr>
              <w:bidi w:val="1"/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أثار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الكفالة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العلاقة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الكفيل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والدائن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العلاقة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بين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الكفيل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والمدين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bidi w:val="1"/>
              <w:spacing w:after="200" w:line="216" w:lineRule="auto"/>
              <w:rPr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إنقضاء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الكفالة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التأمينات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العينية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: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أنواع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التأمينات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العينية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2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4">
            <w:pPr>
              <w:bidi w:val="1"/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-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الرهن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الرسمي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5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bidi w:val="1"/>
              <w:spacing w:line="21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_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أركان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الرهن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8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bidi w:val="1"/>
              <w:spacing w:after="200" w:line="21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آثار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الرهن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الرسمي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bidi w:val="1"/>
              <w:spacing w:after="200"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_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لرهن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الحيازي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E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bidi w:val="1"/>
              <w:spacing w:after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_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أركان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وخصائص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الرهن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الحيازي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1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bidi w:val="1"/>
              <w:spacing w:after="200" w:line="21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_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الامتياز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bidi w:val="1"/>
              <w:spacing w:after="200" w:line="21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_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ماهية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الامتياز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70c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7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6B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Style w:val="Heading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6D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1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7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b w:val="1"/>
                <w:i w:val="1"/>
                <w:color w:val="4f81bd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rtl w:val="1"/>
              </w:rPr>
              <w:t xml:space="preserve">الضمانت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الشخصية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والعينية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ومدى</w:t>
            </w:r>
            <w:r w:rsidDel="00000000" w:rsidR="00000000" w:rsidRPr="00000000">
              <w:rPr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i w:val="1"/>
                <w:rtl w:val="1"/>
              </w:rPr>
              <w:t xml:space="preserve">أهميتها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العملي</w:t>
            </w:r>
          </w:p>
          <w:p w:rsidR="00000000" w:rsidDel="00000000" w:rsidP="00000000" w:rsidRDefault="00000000" w:rsidRPr="00000000" w14:paraId="0000017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7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يفسر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ويحلل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المحاكم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8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C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8E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يحلل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النصوصمن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خلال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القانونى</w:t>
            </w:r>
            <w:r w:rsidDel="00000000" w:rsidR="00000000" w:rsidRPr="00000000">
              <w:rPr>
                <w:rtl w:val="1"/>
              </w:rPr>
              <w:t xml:space="preserve">.  </w:t>
            </w:r>
          </w:p>
          <w:p w:rsidR="00000000" w:rsidDel="00000000" w:rsidP="00000000" w:rsidRDefault="00000000" w:rsidRPr="00000000" w14:paraId="0000018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9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7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القواعد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9E">
            <w:pPr>
              <w:jc w:val="right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0">
            <w:pPr>
              <w:bidi w:val="1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الصلة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العملي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4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B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1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B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D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D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D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D9">
      <w:pPr>
        <w:pStyle w:val="Heading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 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DD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Style w:val="Heading1"/>
        <w:rPr/>
      </w:pPr>
      <w:bookmarkStart w:colFirst="0" w:colLast="0" w:name="_heading=h.26in1rg" w:id="12"/>
      <w:bookmarkEnd w:id="12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DF">
      <w:pPr>
        <w:pStyle w:val="Heading2"/>
        <w:bidi w:val="1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0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/>
          <w:p w:rsidR="00000000" w:rsidDel="00000000" w:rsidP="00000000" w:rsidRDefault="00000000" w:rsidRPr="00000000" w14:paraId="000001E1">
            <w:pPr>
              <w:bidi w:val="1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السيد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عيد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نايل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أحكام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الضمان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العيني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والشخصي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جامعة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الملك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سعود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، 1419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هـ</w:t>
            </w:r>
          </w:p>
          <w:p w:rsidR="00000000" w:rsidDel="00000000" w:rsidP="00000000" w:rsidRDefault="00000000" w:rsidRPr="00000000" w14:paraId="000001E2">
            <w:pPr>
              <w:bidi w:val="1"/>
              <w:ind w:left="360" w:firstLine="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.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أحمد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السعيد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الزقرد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: "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الحقوق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العينية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الأصلية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النظام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السعودي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"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مكتبة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الرشد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، 2015</w:t>
            </w:r>
          </w:p>
          <w:p w:rsidR="00000000" w:rsidDel="00000000" w:rsidP="00000000" w:rsidRDefault="00000000" w:rsidRPr="00000000" w14:paraId="000001E3">
            <w:pPr>
              <w:bidi w:val="1"/>
              <w:ind w:left="360" w:firstLine="0"/>
              <w:rPr>
                <w:rFonts w:ascii="Simplified Arabic" w:cs="Simplified Arabic" w:eastAsia="Simplified Arabic" w:hAnsi="Simplified Arabic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(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الجزء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الخاص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بالضمانات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محمد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عمران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،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الوسيط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في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دراسة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الأنظمة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-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ط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2-1417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هـ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548dd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أستاذ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المادة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والذي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يحتوي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كافة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المواقع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النظامية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والقانونية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1ED">
      <w:pPr>
        <w:pStyle w:val="Heading2"/>
        <w:bidi w:val="1"/>
        <w:rPr>
          <w:sz w:val="14"/>
          <w:szCs w:val="14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Style w:val="Heading2"/>
        <w:bidi w:val="1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1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F2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المحااضرات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تتسع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لـ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30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طالب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F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بالانترنت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بالاضافة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pStyle w:val="Heading1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1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center"/>
              <w:rPr/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F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)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20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1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</w:tbl>
    <w:p w:rsidR="00000000" w:rsidDel="00000000" w:rsidP="00000000" w:rsidRDefault="00000000" w:rsidRPr="00000000" w14:paraId="00000216">
      <w:pPr>
        <w:bidi w:val="1"/>
        <w:rPr>
          <w:color w:val="c00000"/>
          <w:sz w:val="20"/>
          <w:szCs w:val="20"/>
        </w:rPr>
      </w:pPr>
      <w:bookmarkStart w:colFirst="0" w:colLast="0" w:name="_heading=h.3j2qqm3" w:id="19"/>
      <w:bookmarkEnd w:id="19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bidi w:val="1"/>
        <w:rPr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18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pStyle w:val="Heading1"/>
        <w:rPr/>
      </w:pPr>
      <w:bookmarkStart w:colFirst="0" w:colLast="0" w:name="_heading=h.4i7ojhp" w:id="21"/>
      <w:bookmarkEnd w:id="21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1B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1C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1D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1E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1F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20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22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23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Simplified Arab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-371029</wp:posOffset>
          </wp:positionV>
          <wp:extent cx="7313289" cy="761800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7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4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-547420</wp:posOffset>
          </wp:positionH>
          <wp:positionV relativeFrom="paragraph">
            <wp:posOffset>-72465</wp:posOffset>
          </wp:positionV>
          <wp:extent cx="7127737" cy="10080000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0C5CEC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0C5CEC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jynm7o+vCo+pg7zlhUOhCLpng==">AMUW2mUOKP56P9MoMVxaEjbORBGnV3F3xcHqe51ugXn3f36RP22XDi5WIxx8G72t25sob1gPQMeK1JPIrmAfu7gvPQRfSbGg9p0zasWyG0/dnoXemmNJRFiRfILtuVcFeMDEN+3RAioEx4lDAeC3zyf8kdFlj49r4L6knFJzvb3tEe0VF7htzuammztP7EzUpMK1+MBcdOEKAPnqTW/YngbVzwkXG25L3gcvKJUMy7shJ0vXOyZzA+uifD0Rr5YrrovvKluXzt0fSOjYhmojguO7kdM+ElCni+aCTElsxG+vGW/B0pl7beYCXnZOiqQmGK5zJkvdFrLq13K1IiiNF0vBm0nDOLPg986miOB7uM9orsNJ0O0RB0+IsLcmgy3X8R3gAO0I1jbtjmuMfWdVu3TpN1v4vDrL/oDRvsb3GB9X3N7WAKcUf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2022-01-30T06:50:00Z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