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الأسرة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LAW170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tl w:val="0"/>
              </w:rPr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بالمقرر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</w:p>
    <w:tbl>
      <w:tblPr>
        <w:tblStyle w:val="Table2"/>
        <w:bidiVisual w:val="1"/>
        <w:tblW w:w="938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06"/>
        <w:gridCol w:w="639"/>
        <w:gridCol w:w="799"/>
        <w:gridCol w:w="180"/>
        <w:gridCol w:w="105"/>
        <w:gridCol w:w="122"/>
        <w:gridCol w:w="455"/>
        <w:gridCol w:w="382"/>
        <w:gridCol w:w="455"/>
        <w:gridCol w:w="622"/>
        <w:gridCol w:w="456"/>
        <w:gridCol w:w="146"/>
        <w:gridCol w:w="374"/>
        <w:gridCol w:w="455"/>
        <w:gridCol w:w="1884"/>
        <w:gridCol w:w="222"/>
        <w:gridCol w:w="1686"/>
        <w:tblGridChange w:id="0">
          <w:tblGrid>
            <w:gridCol w:w="406"/>
            <w:gridCol w:w="639"/>
            <w:gridCol w:w="799"/>
            <w:gridCol w:w="180"/>
            <w:gridCol w:w="105"/>
            <w:gridCol w:w="122"/>
            <w:gridCol w:w="455"/>
            <w:gridCol w:w="382"/>
            <w:gridCol w:w="455"/>
            <w:gridCol w:w="622"/>
            <w:gridCol w:w="456"/>
            <w:gridCol w:w="146"/>
            <w:gridCol w:w="374"/>
            <w:gridCol w:w="455"/>
            <w:gridCol w:w="1884"/>
            <w:gridCol w:w="222"/>
            <w:gridCol w:w="1686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.9999999999972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E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يوجد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يوجد</w:t>
            </w:r>
          </w:p>
        </w:tc>
      </w:tr>
    </w:tbl>
    <w:p w:rsidR="00000000" w:rsidDel="00000000" w:rsidP="00000000" w:rsidRDefault="00000000" w:rsidRPr="00000000" w14:paraId="000000C3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D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E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1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ومخرجاته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يغطي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موضوعات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مثل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الزواج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وأركانه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وشروطه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وآثاره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الطلاق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وآثاره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لفرقة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الزوجين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مثل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الخلع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والفسخ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بالعيب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والتفريق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بحكم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القضاء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ثم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الحضانة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والرضاعة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المنهج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سيتعلم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السلوك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للأحوال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المنهج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الدعائم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الأساسية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للأسرة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ويشدد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واجبات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عضو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يتيح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اكتساب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تسوية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المنازعات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والأحوال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الشخصية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F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تمكين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للأسرة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بحيث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معرفية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ومهارية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تمكنهم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إبداء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رأيهم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والشرعي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الأسرة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وتطبيقها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موضوعات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العلاقة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الزوجية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ينشأ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خلافات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محتملة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hbnlre7caknr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dbux8mfxt12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wwzqk5evo87b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-2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1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المفاهيم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الأساسية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للزواج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والفرقة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مسائل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يفهم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اللوائح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والخاصة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بالأسرة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D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الاستنتاجات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الأسرة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وتطبيق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قواعده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الأسرية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  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يطبق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النقدي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تمثيل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والبحوث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  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يتقن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استخدام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التكنولوجيا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للاتصال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الشفوي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والمكتوب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ينمي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مهاراته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التحليلات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والبحثية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بالأسرة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  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9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يتحلى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والمسؤوليات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الأخلاقية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والمهنية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بمهنة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المحاماة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والبحوث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تتجسد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المواطنة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والمسؤولية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خلالها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   8 </w:t>
            </w:r>
          </w:p>
        </w:tc>
      </w:tr>
    </w:tbl>
    <w:p w:rsidR="00000000" w:rsidDel="00000000" w:rsidP="00000000" w:rsidRDefault="00000000" w:rsidRPr="00000000" w14:paraId="0000011E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t3h5sf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0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22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مقدمات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وتمهيدات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لعقد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النكاح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التعريف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الأسرة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وأهمية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الأسرة</w:t>
            </w:r>
          </w:p>
          <w:p w:rsidR="00000000" w:rsidDel="00000000" w:rsidP="00000000" w:rsidRDefault="00000000" w:rsidRPr="00000000" w14:paraId="00000125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الزواج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والأسرة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وأهدافهما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الخطبة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المحرمات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النساء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الثالث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أركان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النكاح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الرابع</w:t>
            </w:r>
            <w:r w:rsidDel="00000000" w:rsidR="00000000" w:rsidRPr="00000000">
              <w:rPr>
                <w:rtl w:val="1"/>
              </w:rPr>
              <w:t xml:space="preserve"> : </w:t>
            </w:r>
            <w:r w:rsidDel="00000000" w:rsidR="00000000" w:rsidRPr="00000000">
              <w:rPr>
                <w:rtl w:val="1"/>
              </w:rPr>
              <w:t xml:space="preserve">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النكاح</w:t>
            </w:r>
          </w:p>
          <w:p w:rsidR="00000000" w:rsidDel="00000000" w:rsidP="00000000" w:rsidRDefault="00000000" w:rsidRPr="00000000" w14:paraId="0000012F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الخامس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الولاية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النكاح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العضل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:  </w:t>
            </w:r>
            <w:r w:rsidDel="00000000" w:rsidR="00000000" w:rsidRPr="00000000">
              <w:rPr>
                <w:rtl w:val="1"/>
              </w:rPr>
              <w:t xml:space="preserve">الشروط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النكاح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آثار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عقد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النكاح</w:t>
            </w:r>
          </w:p>
          <w:p w:rsidR="00000000" w:rsidDel="00000000" w:rsidP="00000000" w:rsidRDefault="00000000" w:rsidRPr="00000000" w14:paraId="00000136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السابع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الحقوق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الزوجية</w:t>
            </w:r>
            <w:r w:rsidDel="00000000" w:rsidR="00000000" w:rsidRPr="00000000">
              <w:rPr>
                <w:b w:val="1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13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               </w:t>
            </w:r>
            <w:r w:rsidDel="00000000" w:rsidR="00000000" w:rsidRPr="00000000">
              <w:rPr>
                <w:rtl w:val="1"/>
              </w:rPr>
              <w:t xml:space="preserve">الحق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الصداق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المهر</w:t>
            </w:r>
            <w:r w:rsidDel="00000000" w:rsidR="00000000" w:rsidRPr="00000000">
              <w:rPr>
                <w:rtl w:val="1"/>
              </w:rPr>
              <w:t xml:space="preserve">"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الثامن</w:t>
            </w:r>
            <w:r w:rsidDel="00000000" w:rsidR="00000000" w:rsidRPr="00000000">
              <w:rPr>
                <w:b w:val="1"/>
                <w:rtl w:val="1"/>
              </w:rPr>
              <w:t xml:space="preserve">:  </w:t>
            </w:r>
            <w:r w:rsidDel="00000000" w:rsidR="00000000" w:rsidRPr="00000000">
              <w:rPr>
                <w:rtl w:val="1"/>
              </w:rPr>
              <w:t xml:space="preserve">الحق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النفقة</w:t>
            </w:r>
            <w:r w:rsidDel="00000000" w:rsidR="00000000" w:rsidRPr="00000000">
              <w:rPr>
                <w:rtl w:val="1"/>
              </w:rPr>
              <w:t xml:space="preserve"> + </w:t>
            </w:r>
            <w:r w:rsidDel="00000000" w:rsidR="00000000" w:rsidRPr="00000000">
              <w:rPr>
                <w:rtl w:val="1"/>
              </w:rPr>
              <w:t xml:space="preserve">النشوز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التاسع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المعنوية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الحق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الزوجة</w:t>
            </w:r>
            <w:r w:rsidDel="00000000" w:rsidR="00000000" w:rsidRPr="00000000">
              <w:rPr>
                <w:rtl w:val="1"/>
              </w:rPr>
              <w:t xml:space="preserve"> + </w:t>
            </w:r>
            <w:r w:rsidDel="00000000" w:rsidR="00000000" w:rsidRPr="00000000">
              <w:rPr>
                <w:rtl w:val="1"/>
              </w:rPr>
              <w:t xml:space="preserve">الق</w:t>
            </w:r>
            <w:r w:rsidDel="00000000" w:rsidR="00000000" w:rsidRPr="00000000">
              <w:rPr>
                <w:rtl w:val="1"/>
              </w:rPr>
              <w:t xml:space="preserve">َ</w:t>
            </w:r>
            <w:r w:rsidDel="00000000" w:rsidR="00000000" w:rsidRPr="00000000">
              <w:rPr>
                <w:rtl w:val="1"/>
              </w:rPr>
              <w:t xml:space="preserve">س</w:t>
            </w:r>
            <w:r w:rsidDel="00000000" w:rsidR="00000000" w:rsidRPr="00000000">
              <w:rPr>
                <w:rtl w:val="1"/>
              </w:rPr>
              <w:t xml:space="preserve">ْ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الزوجات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العاشر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الزوج</w:t>
            </w:r>
            <w:r w:rsidDel="00000000" w:rsidR="00000000" w:rsidRPr="00000000">
              <w:rPr>
                <w:rtl w:val="1"/>
              </w:rPr>
              <w:t xml:space="preserve">   +   </w:t>
            </w:r>
            <w:r w:rsidDel="00000000" w:rsidR="00000000" w:rsidRPr="00000000">
              <w:rPr>
                <w:rtl w:val="1"/>
              </w:rPr>
              <w:t xml:space="preserve">الحقوق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المشتركة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الزوجين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الحادي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الفرقة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الزوجين</w:t>
            </w:r>
            <w:r w:rsidDel="00000000" w:rsidR="00000000" w:rsidRPr="00000000">
              <w:rPr>
                <w:rtl w:val="1"/>
              </w:rPr>
              <w:t xml:space="preserve"> + </w:t>
            </w:r>
            <w:r w:rsidDel="00000000" w:rsidR="00000000" w:rsidRPr="00000000">
              <w:rPr>
                <w:rtl w:val="1"/>
              </w:rPr>
              <w:t xml:space="preserve">الطلاق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آثار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الطلاق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4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                    </w:t>
            </w:r>
            <w:r w:rsidDel="00000000" w:rsidR="00000000" w:rsidRPr="00000000">
              <w:rPr>
                <w:rtl w:val="1"/>
              </w:rPr>
              <w:t xml:space="preserve">الأثر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الرجعة</w:t>
            </w:r>
            <w:r w:rsidDel="00000000" w:rsidR="00000000" w:rsidRPr="00000000">
              <w:rPr>
                <w:rtl w:val="1"/>
              </w:rPr>
              <w:t xml:space="preserve">               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                    </w:t>
            </w:r>
            <w:r w:rsidDel="00000000" w:rsidR="00000000" w:rsidRPr="00000000">
              <w:rPr>
                <w:rtl w:val="1"/>
              </w:rPr>
              <w:t xml:space="preserve">الأثر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العدة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الثالث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الخلع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التفريق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</w:t>
            </w:r>
          </w:p>
          <w:p w:rsidR="00000000" w:rsidDel="00000000" w:rsidP="00000000" w:rsidRDefault="00000000" w:rsidRPr="00000000" w14:paraId="0000015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الخامس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التفريق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بحكم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الإيلاء</w:t>
            </w:r>
            <w:r w:rsidDel="00000000" w:rsidR="00000000" w:rsidRPr="00000000">
              <w:rPr>
                <w:rtl w:val="1"/>
              </w:rPr>
              <w:t xml:space="preserve"> ....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الخامس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: (</w:t>
            </w:r>
            <w:r w:rsidDel="00000000" w:rsidR="00000000" w:rsidRPr="00000000">
              <w:rPr>
                <w:rtl w:val="1"/>
              </w:rPr>
              <w:t xml:space="preserve">اللعان</w:t>
            </w:r>
            <w:r w:rsidDel="00000000" w:rsidR="00000000" w:rsidRPr="00000000">
              <w:rPr>
                <w:rtl w:val="1"/>
              </w:rPr>
              <w:t xml:space="preserve"> + </w:t>
            </w:r>
            <w:r w:rsidDel="00000000" w:rsidR="00000000" w:rsidRPr="00000000">
              <w:rPr>
                <w:rtl w:val="1"/>
              </w:rPr>
              <w:t xml:space="preserve">الظهار</w:t>
            </w:r>
            <w:r w:rsidDel="00000000" w:rsidR="00000000" w:rsidRPr="00000000">
              <w:rPr>
                <w:rtl w:val="1"/>
              </w:rPr>
              <w:t xml:space="preserve">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: -     </w:t>
            </w:r>
            <w:r w:rsidDel="00000000" w:rsidR="00000000" w:rsidRPr="00000000">
              <w:rPr>
                <w:rtl w:val="1"/>
              </w:rPr>
              <w:t xml:space="preserve">الحضانة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20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الرضاع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</w:tr>
    </w:tbl>
    <w:p w:rsidR="00000000" w:rsidDel="00000000" w:rsidP="00000000" w:rsidRDefault="00000000" w:rsidRPr="00000000" w14:paraId="0000015D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d34og8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والتقييم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16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12"/>
      <w:bookmarkEnd w:id="12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مخرجات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استراتيجيات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المفاهيم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الأساسية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للزواج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والفرقة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مسائل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والشهرية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6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يفهم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اللوائح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والخاصة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بالأسرة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7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الحوار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والنقاش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والجماعي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العصف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الذهني</w:t>
            </w:r>
            <w:r w:rsidDel="00000000" w:rsidR="00000000" w:rsidRPr="00000000">
              <w:rPr>
                <w:rtl w:val="1"/>
              </w:rPr>
              <w:t xml:space="preserve">"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والشهرية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4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5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الاستنتاجات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الأسرة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وتطبيق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قواعده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الأسرية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والنقاش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المجلات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الشبكة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والشهرية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وبالذات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البحثية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؛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للوقوف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استنتاجات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يطبق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النقدي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تمثيل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والبحوث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العروض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والنقاش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الذهني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والشهرية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يتقن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استخدام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التكنولوجيا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للاتصال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الشفوي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والمكتوب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ينمي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مهاراته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التحليلات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والبحثية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بالأسرة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الشبكة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المحامين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والإصلاح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قوقل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للتواصل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وإجراء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حوارات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ونقاشات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الذهني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".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حاسوبية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مقاطع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اليوتيوب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تتناول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التكنولوجيا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1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يتحلى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والمسؤوليات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الأخلاقية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والمهنية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بمهنة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المحاماة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والبحوث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تتجسد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المواطنة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والمسؤولية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خلالها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العروض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والنقاش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الذهني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مجموعات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الواجبات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  <w:r w:rsidDel="00000000" w:rsidR="00000000" w:rsidRPr="00000000">
              <w:rPr>
                <w:rtl w:val="1"/>
              </w:rPr>
              <w:t xml:space="preserve"> "</w:t>
            </w:r>
            <w:r w:rsidDel="00000000" w:rsidR="00000000" w:rsidRPr="00000000">
              <w:rPr>
                <w:rtl w:val="1"/>
              </w:rPr>
              <w:t xml:space="preserve">تقسيم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مجموعات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وإسناد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يتعاون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أفرادها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إعداده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وتقديمه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مسؤولية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محددة</w:t>
            </w:r>
            <w:r w:rsidDel="00000000" w:rsidR="00000000" w:rsidRPr="00000000">
              <w:rPr>
                <w:rtl w:val="1"/>
              </w:rPr>
              <w:t xml:space="preserve">"</w:t>
            </w:r>
          </w:p>
        </w:tc>
      </w:tr>
    </w:tbl>
    <w:p w:rsidR="00000000" w:rsidDel="00000000" w:rsidP="00000000" w:rsidRDefault="00000000" w:rsidRPr="00000000" w14:paraId="0000019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الطلبة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9"/>
        <w:bidiVisual w:val="1"/>
        <w:tblW w:w="957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530"/>
        <w:gridCol w:w="2070"/>
        <w:tblGridChange w:id="0">
          <w:tblGrid>
            <w:gridCol w:w="421"/>
            <w:gridCol w:w="5555"/>
            <w:gridCol w:w="1530"/>
            <w:gridCol w:w="2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9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القصير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2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الأسبوع</w:t>
            </w:r>
            <w:r w:rsidDel="00000000" w:rsidR="00000000" w:rsidRPr="00000000">
              <w:rPr>
                <w:rtl w:val="1"/>
              </w:rPr>
              <w:t xml:space="preserve"> 3 - 4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6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الأسبوع</w:t>
            </w:r>
            <w:r w:rsidDel="00000000" w:rsidR="00000000" w:rsidRPr="00000000">
              <w:rPr>
                <w:rtl w:val="1"/>
              </w:rPr>
              <w:t xml:space="preserve"> 6 - 7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القصير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A">
            <w:pPr>
              <w:bidi w:val="1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  <w:t xml:space="preserve"> 8 -10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E">
            <w:pPr>
              <w:bidi w:val="1"/>
              <w:rPr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12-14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إعداد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الواجب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bidi w:val="1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الأسبوع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7 -12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ومناقشته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6">
            <w:pPr>
              <w:bidi w:val="1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الأسبوع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10-12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C0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C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rdcrjn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الإرشاد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والدعم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الطلابي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مختلفة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لتناسب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ظروف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وعددها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7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أسبوعيا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عبر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الاجتماعي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("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الإليكتروني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الواتس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آب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عبر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مجموعات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مخصصة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لذلك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والتواصل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يومي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ومستمر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متى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دعت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الحاجة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لذلك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5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6in1rg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والمرافق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1C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lnxbz9" w:id="16"/>
      <w:bookmarkEnd w:id="16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كتاب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الأسرة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الاجراءات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والتطبيقات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) </w:t>
            </w:r>
            <w:r w:rsidDel="00000000" w:rsidR="00000000" w:rsidRPr="00000000">
              <w:rPr>
                <w:rtl w:val="1"/>
              </w:rPr>
              <w:t xml:space="preserve">للدكتور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سالم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راشد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المطيري</w:t>
            </w:r>
            <w:r w:rsidDel="00000000" w:rsidR="00000000" w:rsidRPr="00000000">
              <w:rPr>
                <w:rtl w:val="1"/>
              </w:rPr>
              <w:t xml:space="preserve"> 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مجلة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الأحكام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القضائية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كتاب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الأحوال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الشخصية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للشيخ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أبي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زهرة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العدل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ديوان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المظالم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الإلكتروني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الخاص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بالجامعة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مودل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bookmarkStart w:colFirst="0" w:colLast="0" w:name="_heading=h.35nkun2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ksv4uv" w:id="18"/>
      <w:bookmarkEnd w:id="18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المرافق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والتجهيزات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المطلوبة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D8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9">
            <w:pPr>
              <w:bidi w:val="1"/>
              <w:ind w:left="359" w:firstLine="0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قاعة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مناسبة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الشعبة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D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شاشات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مرتبطة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بجهاز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الحاسوب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البروجكترات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الاتصال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بشبكة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44sinio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تقويم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1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3">
            <w:pPr>
              <w:bidi w:val="1"/>
              <w:jc w:val="center"/>
              <w:rPr/>
            </w:pPr>
            <w:bookmarkStart w:colFirst="0" w:colLast="0" w:name="_heading=h.2jxsxqh" w:id="20"/>
            <w:bookmarkEnd w:id="20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bidi w:val="1"/>
              <w:jc w:val="both"/>
              <w:rPr/>
            </w:pPr>
            <w:bookmarkStart w:colFirst="0" w:colLast="0" w:name="_heading=h.z337ya" w:id="21"/>
            <w:bookmarkEnd w:id="21"/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منسق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الحضور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bidi w:val="1"/>
              <w:jc w:val="both"/>
              <w:rPr>
                <w:b w:val="1"/>
                <w:color w:val="366091"/>
              </w:rPr>
            </w:pPr>
            <w:r w:rsidDel="00000000" w:rsidR="00000000" w:rsidRPr="00000000">
              <w:rPr>
                <w:b w:val="1"/>
                <w:color w:val="366091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E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مدى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تحصيل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إحصائية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الخروج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مصادر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التعلم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bidi w:val="1"/>
        <w:rPr>
          <w:color w:val="c00000"/>
          <w:sz w:val="20"/>
          <w:szCs w:val="20"/>
        </w:rPr>
      </w:pPr>
      <w:bookmarkStart w:colFirst="0" w:colLast="0" w:name="_heading=h.3j2qqm3" w:id="22"/>
      <w:bookmarkEnd w:id="22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bidi w:val="1"/>
        <w:rPr>
          <w:sz w:val="20"/>
          <w:szCs w:val="20"/>
        </w:rPr>
      </w:pPr>
      <w:bookmarkStart w:colFirst="0" w:colLast="0" w:name="_heading=h.1y810tw" w:id="23"/>
      <w:bookmarkEnd w:id="23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FF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i7ojhp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اعتماد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التوصيف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2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03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04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05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6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07">
            <w:pPr>
              <w:bidi w:val="1"/>
              <w:spacing w:before="240" w:line="276" w:lineRule="auto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8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09">
            <w:pPr>
              <w:bidi w:val="1"/>
              <w:spacing w:before="240" w:line="276" w:lineRule="auto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0A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Courier New"/>
  <w:font w:name="Noto Sans Symbols"/>
  <w:font w:name="STXihe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STXihei" w:cs="STXihei" w:eastAsia="STXihei" w:hAnsi="STXihe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360" w:hanging="360"/>
      </w:pPr>
      <w:rPr>
        <w:rFonts w:ascii="STXihei" w:cs="STXihei" w:eastAsia="STXihei" w:hAnsi="STXihe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360" w:hanging="360"/>
      </w:pPr>
      <w:rPr>
        <w:rFonts w:ascii="STXihei" w:cs="STXihei" w:eastAsia="STXihei" w:hAnsi="STXihe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360" w:hanging="360"/>
      </w:pPr>
      <w:rPr>
        <w:rFonts w:ascii="STXihei" w:cs="STXihei" w:eastAsia="STXihei" w:hAnsi="STXihe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360" w:hanging="360"/>
      </w:pPr>
      <w:rPr>
        <w:rFonts w:ascii="STXihei" w:cs="STXihei" w:eastAsia="STXihei" w:hAnsi="STXihe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-"/>
      <w:lvlJc w:val="left"/>
      <w:pPr>
        <w:ind w:left="360" w:hanging="360"/>
      </w:pPr>
      <w:rPr>
        <w:rFonts w:ascii="STXihei" w:cs="STXihei" w:eastAsia="STXihei" w:hAnsi="STXihe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2"/>
      <w:numFmt w:val="bullet"/>
      <w:lvlText w:val="-"/>
      <w:lvlJc w:val="left"/>
      <w:pPr>
        <w:ind w:left="20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7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4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9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6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3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0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0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-"/>
      <w:lvlJc w:val="left"/>
      <w:pPr>
        <w:ind w:left="360" w:hanging="360"/>
      </w:pPr>
      <w:rPr>
        <w:rFonts w:ascii="STXihei" w:cs="STXihei" w:eastAsia="STXihei" w:hAnsi="STXihe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a" w:default="1">
    <w:name w:val="Normal"/>
    <w:qFormat w:val="1"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 w:val="1"/>
    <w:qFormat w:val="1"/>
    <w:rsid w:val="00283B54"/>
    <w:pPr>
      <w:keepNext w:val="1"/>
      <w:bidi w:val="1"/>
      <w:outlineLvl w:val="0"/>
    </w:pPr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3">
    <w:name w:val="heading 3"/>
    <w:basedOn w:val="a"/>
    <w:next w:val="a"/>
    <w:link w:val="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4">
    <w:name w:val="heading 4"/>
    <w:basedOn w:val="a"/>
    <w:next w:val="a"/>
    <w:link w:val="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5">
    <w:name w:val="heading 5"/>
    <w:basedOn w:val="a"/>
    <w:next w:val="a"/>
    <w:link w:val="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6">
    <w:name w:val="heading 6"/>
    <w:basedOn w:val="a"/>
    <w:next w:val="a"/>
    <w:link w:val="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7">
    <w:name w:val="heading 7"/>
    <w:basedOn w:val="a"/>
    <w:next w:val="a"/>
    <w:link w:val="7Char"/>
    <w:qFormat w:val="1"/>
    <w:rsid w:val="00B1176F"/>
    <w:pPr>
      <w:spacing w:after="60" w:before="240"/>
      <w:outlineLvl w:val="6"/>
    </w:pPr>
  </w:style>
  <w:style w:type="paragraph" w:styleId="8">
    <w:name w:val="heading 8"/>
    <w:basedOn w:val="a"/>
    <w:next w:val="a"/>
    <w:link w:val="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9">
    <w:name w:val="heading 9"/>
    <w:basedOn w:val="a"/>
    <w:next w:val="a"/>
    <w:link w:val="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 w:val="1"/>
      <w:bCs w:val="1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 w:val="1"/>
      <w:bCs w:val="1"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 w:val="1"/>
    <w:rsid w:val="00B1176F"/>
    <w:rPr>
      <w:b w:val="1"/>
      <w:bCs w:val="1"/>
      <w:sz w:val="28"/>
      <w:szCs w:val="28"/>
    </w:rPr>
  </w:style>
  <w:style w:type="paragraph" w:styleId="ac">
    <w:name w:val="Document Map"/>
    <w:basedOn w:val="a"/>
    <w:link w:val="Char5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 w:val="1"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 w:val="1"/>
    <w:rsid w:val="00FC79D1"/>
    <w:rPr>
      <w:rFonts w:ascii="Tahoma" w:hAnsi="Tahoma"/>
      <w:sz w:val="16"/>
      <w:szCs w:val="16"/>
    </w:rPr>
  </w:style>
  <w:style w:type="character" w:styleId="Char7" w:customStyle="1">
    <w:name w:val="نص في بالون Char"/>
    <w:link w:val="ae"/>
    <w:rsid w:val="00FC79D1"/>
    <w:rPr>
      <w:rFonts w:ascii="Tahoma" w:cs="Tahoma" w:hAnsi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 w:val="1"/>
    <w:rsid w:val="00A37EAB"/>
    <w:pPr>
      <w:ind w:left="720"/>
      <w:contextualSpacing w:val="1"/>
    </w:pPr>
  </w:style>
  <w:style w:type="table" w:styleId="af0">
    <w:name w:val="Table Grid"/>
    <w:basedOn w:val="a1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1">
    <w:name w:val="TOC Heading"/>
    <w:basedOn w:val="1"/>
    <w:next w:val="a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22">
    <w:name w:val="toc 2"/>
    <w:basedOn w:val="a"/>
    <w:next w:val="a"/>
    <w:autoRedefine w:val="1"/>
    <w:uiPriority w:val="39"/>
    <w:unhideWhenUsed w:val="1"/>
    <w:rsid w:val="00470372"/>
    <w:pPr>
      <w:spacing w:after="100"/>
      <w:ind w:left="240"/>
    </w:pPr>
  </w:style>
  <w:style w:type="paragraph" w:styleId="31">
    <w:name w:val="toc 3"/>
    <w:basedOn w:val="a"/>
    <w:next w:val="a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Char" w:customStyle="1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 w:val="1"/>
    <w:rsid w:val="00E54C65"/>
    <w:rPr>
      <w:b w:val="1"/>
      <w:bCs w:val="1"/>
    </w:rPr>
  </w:style>
  <w:style w:type="character" w:styleId="3Char" w:customStyle="1">
    <w:name w:val="عنوان 3 Char"/>
    <w:link w:val="3"/>
    <w:rsid w:val="00A3606A"/>
    <w:rPr>
      <w:b w:val="1"/>
      <w:bCs w:val="1"/>
      <w:sz w:val="32"/>
      <w:szCs w:val="24"/>
    </w:rPr>
  </w:style>
  <w:style w:type="character" w:styleId="Char3" w:customStyle="1">
    <w:name w:val="رأس الصفحة Char"/>
    <w:link w:val="aa"/>
    <w:uiPriority w:val="99"/>
    <w:rsid w:val="00A3606A"/>
    <w:rPr>
      <w:sz w:val="24"/>
      <w:szCs w:val="24"/>
    </w:rPr>
  </w:style>
  <w:style w:type="character" w:styleId="7Char" w:customStyle="1">
    <w:name w:val="عنوان 7 Char"/>
    <w:link w:val="7"/>
    <w:rsid w:val="00886520"/>
    <w:rPr>
      <w:sz w:val="24"/>
      <w:szCs w:val="24"/>
    </w:rPr>
  </w:style>
  <w:style w:type="character" w:styleId="Char0" w:customStyle="1">
    <w:name w:val="نص أساسي Char"/>
    <w:link w:val="a4"/>
    <w:rsid w:val="00886520"/>
    <w:rPr>
      <w:b w:val="1"/>
      <w:bCs w:val="1"/>
      <w:sz w:val="24"/>
      <w:szCs w:val="24"/>
    </w:rPr>
  </w:style>
  <w:style w:type="character" w:styleId="Char2" w:customStyle="1">
    <w:name w:val="نص حاشية سفلية Char"/>
    <w:basedOn w:val="a0"/>
    <w:link w:val="a7"/>
    <w:rsid w:val="00886520"/>
  </w:style>
  <w:style w:type="character" w:styleId="Char4" w:customStyle="1">
    <w:name w:val="عنوان فرعي Char"/>
    <w:link w:val="ab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a"/>
    <w:rsid w:val="00D47DF9"/>
    <w:pPr>
      <w:spacing w:after="100" w:afterAutospacing="1" w:before="100" w:beforeAutospacing="1"/>
    </w:pPr>
  </w:style>
  <w:style w:type="character" w:styleId="Char6" w:customStyle="1">
    <w:name w:val="العنوان Char"/>
    <w:link w:val="ad"/>
    <w:rsid w:val="00D47DF9"/>
    <w:rPr>
      <w:sz w:val="32"/>
      <w:szCs w:val="32"/>
      <w:lang w:val="en-GB"/>
    </w:rPr>
  </w:style>
  <w:style w:type="character" w:styleId="1Char" w:customStyle="1">
    <w:name w:val="العنوان 1 Char"/>
    <w:link w:val="1"/>
    <w:rsid w:val="00283B54"/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character" w:styleId="2Char" w:customStyle="1">
    <w:name w:val="عنوان 2 Char"/>
    <w:link w:val="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4Char" w:customStyle="1">
    <w:name w:val="عنوان 4 Char"/>
    <w:link w:val="4"/>
    <w:rsid w:val="00D47DF9"/>
    <w:rPr>
      <w:b w:val="1"/>
      <w:bCs w:val="1"/>
      <w:sz w:val="28"/>
      <w:szCs w:val="28"/>
    </w:rPr>
  </w:style>
  <w:style w:type="character" w:styleId="5Char" w:customStyle="1">
    <w:name w:val="عنوان 5 Char"/>
    <w:link w:val="5"/>
    <w:rsid w:val="00D47DF9"/>
    <w:rPr>
      <w:b w:val="1"/>
      <w:sz w:val="24"/>
      <w:szCs w:val="28"/>
      <w:lang w:bidi="ar-EG"/>
    </w:rPr>
  </w:style>
  <w:style w:type="character" w:styleId="6Char" w:customStyle="1">
    <w:name w:val="عنوان 6 Char"/>
    <w:link w:val="6"/>
    <w:rsid w:val="00D47DF9"/>
    <w:rPr>
      <w:b w:val="1"/>
      <w:bCs w:val="1"/>
      <w:sz w:val="24"/>
      <w:szCs w:val="28"/>
    </w:rPr>
  </w:style>
  <w:style w:type="character" w:styleId="8Char" w:customStyle="1">
    <w:name w:val="عنوان 8 Char"/>
    <w:link w:val="8"/>
    <w:rsid w:val="00D47DF9"/>
    <w:rPr>
      <w:i w:val="1"/>
      <w:iCs w:val="1"/>
      <w:sz w:val="24"/>
      <w:szCs w:val="24"/>
    </w:rPr>
  </w:style>
  <w:style w:type="character" w:styleId="9Char" w:customStyle="1">
    <w:name w:val="عنوان 9 Char"/>
    <w:link w:val="9"/>
    <w:rsid w:val="00D47DF9"/>
    <w:rPr>
      <w:rFonts w:ascii="Arial" w:cs="Arial" w:hAnsi="Arial"/>
      <w:sz w:val="22"/>
      <w:szCs w:val="22"/>
    </w:rPr>
  </w:style>
  <w:style w:type="character" w:styleId="Char1" w:customStyle="1">
    <w:name w:val="نص أساسي بمسافة بادئة Char"/>
    <w:link w:val="a6"/>
    <w:rsid w:val="00D47DF9"/>
    <w:rPr>
      <w:sz w:val="24"/>
      <w:szCs w:val="24"/>
    </w:rPr>
  </w:style>
  <w:style w:type="character" w:styleId="2Char0" w:customStyle="1">
    <w:name w:val="نص أساسي 2 Char"/>
    <w:link w:val="20"/>
    <w:rsid w:val="00D47DF9"/>
    <w:rPr>
      <w:b w:val="1"/>
      <w:bCs w:val="1"/>
      <w:sz w:val="28"/>
      <w:szCs w:val="28"/>
    </w:rPr>
  </w:style>
  <w:style w:type="character" w:styleId="2Char1" w:customStyle="1">
    <w:name w:val="نص أساسي بمسافة بادئة 2 Char"/>
    <w:link w:val="21"/>
    <w:rsid w:val="00D47DF9"/>
    <w:rPr>
      <w:szCs w:val="24"/>
    </w:rPr>
  </w:style>
  <w:style w:type="character" w:styleId="3Char0" w:customStyle="1">
    <w:name w:val="نص أساسي 3 Char"/>
    <w:link w:val="30"/>
    <w:rsid w:val="00D47DF9"/>
    <w:rPr>
      <w:lang w:bidi="ar-EG"/>
    </w:rPr>
  </w:style>
  <w:style w:type="character" w:styleId="Char5" w:customStyle="1">
    <w:name w:val="خريطة المستند Char"/>
    <w:link w:val="ac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 w:val="1"/>
    <w:unhideWhenUsed w:val="1"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 w:val="1"/>
    <w:unhideWhenUsed w:val="1"/>
    <w:rsid w:val="00DF5FBB"/>
    <w:rPr>
      <w:sz w:val="20"/>
      <w:szCs w:val="20"/>
    </w:rPr>
  </w:style>
  <w:style w:type="character" w:styleId="Char8" w:customStyle="1">
    <w:name w:val="نص تعليق Char"/>
    <w:basedOn w:val="a0"/>
    <w:link w:val="af4"/>
    <w:uiPriority w:val="99"/>
    <w:semiHidden w:val="1"/>
    <w:rsid w:val="00DF5FBB"/>
  </w:style>
  <w:style w:type="paragraph" w:styleId="af5">
    <w:name w:val="annotation subject"/>
    <w:basedOn w:val="af4"/>
    <w:next w:val="af4"/>
    <w:link w:val="Char9"/>
    <w:uiPriority w:val="99"/>
    <w:semiHidden w:val="1"/>
    <w:unhideWhenUsed w:val="1"/>
    <w:rsid w:val="00DF5FBB"/>
    <w:rPr>
      <w:b w:val="1"/>
      <w:bCs w:val="1"/>
    </w:rPr>
  </w:style>
  <w:style w:type="character" w:styleId="Char9" w:customStyle="1">
    <w:name w:val="موضوع تعليق Char"/>
    <w:basedOn w:val="Char8"/>
    <w:link w:val="af5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af6">
    <w:name w:val="No Spacing"/>
    <w:uiPriority w:val="1"/>
    <w:qFormat w:val="1"/>
    <w:rsid w:val="00EF018C"/>
    <w:rPr>
      <w:sz w:val="24"/>
      <w:szCs w:val="24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/F4/Hn5qXKBH2TT6vTnMeDjkw==">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2021-10-21T20:49:00Z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